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8D" w:rsidRDefault="009D318D">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9D318D">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9D318D" w:rsidRDefault="009D318D">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9D318D" w:rsidRDefault="009D318D">
            <w:pPr>
              <w:rPr>
                <w:sz w:val="20"/>
                <w:szCs w:val="20"/>
              </w:rPr>
            </w:pPr>
          </w:p>
        </w:tc>
      </w:tr>
      <w:tr w:rsidR="009D318D">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color w:val="000000"/>
              </w:rPr>
              <w:t>КОДЫ</w:t>
            </w:r>
          </w:p>
        </w:tc>
      </w:tr>
      <w:tr w:rsidR="009D318D">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9D318D" w:rsidRDefault="009D318D">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февраля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color w:val="000000"/>
              </w:rPr>
              <w:t>0503160</w:t>
            </w:r>
          </w:p>
        </w:tc>
      </w:tr>
      <w:tr w:rsidR="009D318D">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9D318D" w:rsidRDefault="009D318D">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9D318D" w:rsidRDefault="009D318D">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r>
      <w:tr w:rsidR="009D318D">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sz w:val="20"/>
                <w:szCs w:val="20"/>
              </w:rPr>
              <w:t>01.02.2021</w:t>
            </w:r>
          </w:p>
        </w:tc>
      </w:tr>
      <w:tr w:rsidR="009D318D">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rPr>
              <w:br/>
            </w:r>
            <w:r>
              <w:rPr>
                <w:rFonts w:ascii="Times New Roman" w:hAnsi="Times New Roman"/>
                <w:sz w:val="20"/>
                <w:szCs w:val="20"/>
              </w:rPr>
              <w:t>48500309</w:t>
            </w:r>
          </w:p>
        </w:tc>
      </w:tr>
      <w:tr w:rsidR="009D318D">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r>
      <w:tr w:rsidR="009D318D">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r>
      <w:tr w:rsidR="009D318D">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r>
      <w:tr w:rsidR="009D318D">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b/>
                <w:bCs/>
                <w:color w:val="000000"/>
                <w:sz w:val="28"/>
                <w:szCs w:val="28"/>
              </w:rPr>
            </w:pPr>
            <w:r>
              <w:rPr>
                <w:rFonts w:ascii="Times New Roman" w:hAnsi="Times New Roman"/>
                <w:color w:val="000000"/>
                <w:lang w:val="en-US" w:eastAsia="en-US"/>
              </w:rPr>
              <w:t>Префектура Зеленоградского административного округа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lang w:val="en-US" w:eastAsia="en-US"/>
              </w:rPr>
              <w:t xml:space="preserve">921 </w:t>
            </w:r>
          </w:p>
        </w:tc>
      </w:tr>
      <w:tr w:rsidR="009D318D">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9D318D" w:rsidRDefault="009D318D">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Style w:val="style461"/>
                <w:sz w:val="22"/>
                <w:szCs w:val="22"/>
                <w:lang w:val="en-US" w:eastAsia="en-US"/>
              </w:rPr>
              <w:t>45377000</w:t>
            </w:r>
            <w:r>
              <w:rPr>
                <w:rFonts w:ascii="Times New Roman" w:hAnsi="Times New Roman"/>
                <w:lang w:val="en-US" w:eastAsia="en-US"/>
              </w:rPr>
              <w:t xml:space="preserve"> </w:t>
            </w:r>
          </w:p>
        </w:tc>
      </w:tr>
      <w:tr w:rsidR="009D318D">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D318D" w:rsidRDefault="009D318D">
            <w:pPr>
              <w:rPr>
                <w:rFonts w:ascii="Times New Roman" w:hAnsi="Times New Roman"/>
                <w:color w:val="000000"/>
              </w:rPr>
            </w:pPr>
          </w:p>
        </w:tc>
      </w:tr>
      <w:tr w:rsidR="009D318D">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color w:val="000000"/>
              </w:rPr>
            </w:pPr>
            <w:r>
              <w:rPr>
                <w:rFonts w:ascii="Times New Roman" w:hAnsi="Times New Roman"/>
                <w:color w:val="000000"/>
                <w:lang w:val="en-US" w:eastAsia="en-US"/>
              </w:rPr>
              <w:t>месячная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color w:val="000000"/>
              </w:rPr>
              <w:t> </w:t>
            </w:r>
          </w:p>
        </w:tc>
      </w:tr>
      <w:tr w:rsidR="009D318D">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9D318D" w:rsidRDefault="009D318D">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D318D" w:rsidRDefault="009D318D">
            <w:pPr>
              <w:jc w:val="center"/>
              <w:rPr>
                <w:rFonts w:ascii="Times New Roman" w:hAnsi="Times New Roman"/>
                <w:color w:val="000000"/>
              </w:rPr>
            </w:pPr>
            <w:r>
              <w:rPr>
                <w:rFonts w:ascii="Times New Roman" w:hAnsi="Times New Roman"/>
                <w:color w:val="000000"/>
              </w:rPr>
              <w:t>383</w:t>
            </w:r>
          </w:p>
        </w:tc>
      </w:tr>
      <w:tr w:rsidR="009D318D">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9D318D" w:rsidRDefault="009D318D">
            <w:pPr>
              <w:rPr>
                <w:rFonts w:ascii="Times New Roman" w:hAnsi="Times New Roman"/>
                <w:sz w:val="20"/>
                <w:szCs w:val="20"/>
              </w:rPr>
            </w:pPr>
          </w:p>
        </w:tc>
      </w:tr>
      <w:tr w:rsidR="009D318D">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r>
      <w:tr w:rsidR="009D318D">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r>
      <w:tr w:rsidR="009D318D">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r>
      <w:tr w:rsidR="009D318D">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9D318D" w:rsidRDefault="009D318D">
            <w:pPr>
              <w:rPr>
                <w:sz w:val="20"/>
                <w:szCs w:val="20"/>
              </w:rPr>
            </w:pPr>
          </w:p>
        </w:tc>
      </w:tr>
    </w:tbl>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9D318D">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D318D" w:rsidRDefault="009D318D">
            <w:pPr>
              <w:ind w:right="34"/>
              <w:jc w:val="both"/>
              <w:rPr>
                <w:rFonts w:ascii="Times New Roman" w:hAnsi="Times New Roman"/>
                <w:sz w:val="24"/>
                <w:szCs w:val="24"/>
              </w:rPr>
            </w:pPr>
          </w:p>
          <w:p w:rsidR="009D318D" w:rsidRDefault="009D318D">
            <w:pPr>
              <w:ind w:right="34"/>
              <w:jc w:val="both"/>
              <w:rPr>
                <w:rFonts w:ascii="Times New Roman" w:hAnsi="Times New Roman"/>
                <w:b/>
                <w:bCs/>
                <w:sz w:val="24"/>
                <w:szCs w:val="24"/>
              </w:rPr>
            </w:pPr>
          </w:p>
          <w:p w:rsidR="009D318D" w:rsidRDefault="009D318D">
            <w:pPr>
              <w:tabs>
                <w:tab w:val="left" w:pos="10348"/>
                <w:tab w:val="left" w:pos="10632"/>
              </w:tabs>
              <w:ind w:right="34"/>
              <w:rPr>
                <w:rFonts w:ascii="Times New Roman" w:hAnsi="Times New Roman"/>
                <w:sz w:val="24"/>
                <w:szCs w:val="24"/>
              </w:rPr>
            </w:pPr>
          </w:p>
        </w:tc>
      </w:tr>
      <w:tr w:rsidR="009D318D">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9D318D" w:rsidRDefault="009D318D">
            <w:pPr>
              <w:ind w:right="34"/>
              <w:jc w:val="both"/>
              <w:rPr>
                <w:rFonts w:ascii="Times New Roman" w:hAnsi="Times New Roman"/>
                <w:color w:val="000000"/>
                <w:sz w:val="24"/>
                <w:szCs w:val="24"/>
                <w:lang w:val="en-US" w:eastAsia="en-US"/>
              </w:rPr>
            </w:pPr>
          </w:p>
        </w:tc>
      </w:tr>
      <w:tr w:rsidR="009D318D">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bl>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sz w:val="28"/>
          <w:szCs w:val="28"/>
        </w:rPr>
      </w:pPr>
      <w:r>
        <w:rPr>
          <w:rFonts w:ascii="Times New Roman" w:hAnsi="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bl>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Некассовые операции отсутствуют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Курсовая разница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Прочая 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bl>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Счета отсутствуют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9D318D" w:rsidRDefault="009D318D">
            <w:pPr>
              <w:ind w:right="35"/>
              <w:rPr>
                <w:rFonts w:ascii="Times New Roman" w:hAnsi="Times New Roman"/>
                <w:b/>
                <w:bCs/>
                <w:color w:val="000000"/>
                <w:sz w:val="24"/>
                <w:szCs w:val="24"/>
                <w:lang w:val="en-US" w:eastAsia="en-US"/>
              </w:rPr>
            </w:pPr>
          </w:p>
        </w:tc>
      </w:tr>
      <w:tr w:rsidR="009D318D">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bl>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w:t>
            </w:r>
            <w:r>
              <w:rPr>
                <w:rFonts w:ascii="Times New Roman" w:hAnsi="Times New Roman"/>
                <w:b/>
                <w:bCs/>
                <w:sz w:val="24"/>
                <w:szCs w:val="24"/>
                <w:lang w:val="en-US" w:eastAsia="en-US"/>
              </w:rPr>
              <w:lastRenderedPageBreak/>
              <w:t xml:space="preserve">Российской Федерации» </w:t>
            </w:r>
            <w:r>
              <w:rPr>
                <w:rFonts w:ascii="Times New Roman" w:hAnsi="Times New Roman"/>
                <w:b/>
                <w:bCs/>
                <w:sz w:val="24"/>
                <w:szCs w:val="24"/>
                <w:lang w:val="en-US" w:eastAsia="en-US"/>
              </w:rPr>
              <w:tab/>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r>
              <w:rPr>
                <w:rFonts w:ascii="Times New Roman" w:hAnsi="Times New Roman"/>
                <w:b/>
                <w:bCs/>
                <w:sz w:val="24"/>
                <w:szCs w:val="24"/>
                <w:lang w:val="en-US" w:eastAsia="en-US"/>
              </w:rPr>
              <w:tab/>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sz w:val="24"/>
                <w:szCs w:val="24"/>
                <w:lang w:val="en-US" w:eastAsia="en-US"/>
              </w:rPr>
            </w:pPr>
          </w:p>
          <w:p w:rsidR="009D318D" w:rsidRDefault="009D318D">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9D318D" w:rsidRDefault="009D318D">
            <w:pPr>
              <w:ind w:right="-142"/>
              <w:rPr>
                <w:rFonts w:ascii="Times New Roman" w:hAnsi="Times New Roman"/>
                <w:b/>
                <w:bCs/>
                <w:color w:val="000000"/>
                <w:sz w:val="24"/>
                <w:szCs w:val="24"/>
                <w:lang w:val="en-US" w:eastAsia="en-US"/>
              </w:rPr>
            </w:pPr>
          </w:p>
        </w:tc>
      </w:tr>
      <w:tr w:rsidR="009D318D">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9D318D" w:rsidRDefault="009D318D">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r w:rsidR="009D318D">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9D318D" w:rsidRDefault="009D318D">
            <w:pPr>
              <w:ind w:right="-142"/>
              <w:jc w:val="both"/>
              <w:rPr>
                <w:rFonts w:ascii="Times New Roman" w:hAnsi="Times New Roman"/>
                <w:color w:val="000000"/>
                <w:sz w:val="28"/>
                <w:szCs w:val="28"/>
                <w:lang w:val="en-US" w:eastAsia="en-US"/>
              </w:rPr>
            </w:pPr>
          </w:p>
        </w:tc>
      </w:tr>
    </w:tbl>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sectPr w:rsidR="009D318D">
          <w:pgSz w:w="12240" w:h="15840"/>
          <w:pgMar w:top="1134" w:right="1701" w:bottom="1134" w:left="819" w:header="720" w:footer="720" w:gutter="0"/>
          <w:cols w:space="720"/>
          <w:noEndnote/>
        </w:sect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9D318D" w:rsidRDefault="009D318D">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9D318D">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9D318D">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9D318D">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both"/>
              <w:rPr>
                <w:rFonts w:ascii="Times New Roman" w:hAnsi="Times New Roman"/>
                <w:b/>
                <w:bCs/>
                <w:color w:val="000000"/>
                <w:sz w:val="16"/>
                <w:szCs w:val="16"/>
              </w:rPr>
            </w:pPr>
          </w:p>
        </w:tc>
      </w:tr>
    </w:tbl>
    <w:p w:rsidR="009D318D" w:rsidRDefault="009D318D">
      <w:pPr>
        <w:jc w:val="center"/>
        <w:rPr>
          <w:rFonts w:ascii="Times New Roman CYR" w:hAnsi="Times New Roman CYR" w:cs="Times New Roman CYR"/>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w:hAnsi="Times New Roman"/>
          <w:sz w:val="28"/>
          <w:szCs w:val="28"/>
          <w:lang w:val="en-US" w:eastAsia="en-US"/>
        </w:rPr>
      </w:pPr>
    </w:p>
    <w:p w:rsidR="009D318D" w:rsidRDefault="009D318D">
      <w:pPr>
        <w:jc w:val="both"/>
        <w:rPr>
          <w:rFonts w:ascii="Times New Roman" w:hAnsi="Times New Roman"/>
          <w:sz w:val="28"/>
          <w:szCs w:val="28"/>
          <w:lang w:val="en-US" w:eastAsia="en-US"/>
        </w:rPr>
      </w:pPr>
    </w:p>
    <w:p w:rsidR="009D318D" w:rsidRDefault="009D318D">
      <w:pPr>
        <w:jc w:val="both"/>
        <w:rPr>
          <w:rFonts w:ascii="Times New Roman" w:hAnsi="Times New Roman"/>
          <w:sz w:val="28"/>
          <w:szCs w:val="28"/>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9D318D" w:rsidRDefault="009D318D">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9D318D">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9D318D">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9D318D" w:rsidRDefault="009D318D">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9D318D">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center"/>
              <w:rPr>
                <w:rFonts w:ascii="Times New Roman" w:hAnsi="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9D318D" w:rsidRDefault="009D318D">
            <w:pPr>
              <w:jc w:val="both"/>
              <w:rPr>
                <w:rFonts w:ascii="Times New Roman" w:hAnsi="Times New Roman"/>
                <w:color w:val="000000"/>
                <w:sz w:val="16"/>
                <w:szCs w:val="16"/>
              </w:rPr>
            </w:pPr>
          </w:p>
        </w:tc>
      </w:tr>
    </w:tbl>
    <w:p w:rsidR="009D318D" w:rsidRDefault="009D318D">
      <w:pPr>
        <w:jc w:val="center"/>
        <w:rPr>
          <w:lang w:val="en-US" w:eastAsia="en-US"/>
        </w:rPr>
      </w:pPr>
    </w:p>
    <w:p w:rsidR="009D318D" w:rsidRDefault="009D318D">
      <w:pPr>
        <w:jc w:val="both"/>
        <w:rPr>
          <w:rFonts w:ascii="Times New Roman" w:hAnsi="Times New Roman"/>
          <w:sz w:val="28"/>
          <w:szCs w:val="28"/>
          <w:lang w:val="en-US" w:eastAsia="en-US"/>
        </w:rPr>
      </w:pPr>
    </w:p>
    <w:p w:rsidR="009D318D" w:rsidRDefault="009D318D">
      <w:pPr>
        <w:jc w:val="both"/>
        <w:rPr>
          <w:rFonts w:ascii="Times New Roman CYR" w:hAnsi="Times New Roman CYR" w:cs="Times New Roman CYR"/>
          <w:color w:val="004DBB"/>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w:hAnsi="Times New Roman"/>
          <w:sz w:val="28"/>
          <w:szCs w:val="28"/>
          <w:lang w:val="en-US" w:eastAsia="en-US"/>
        </w:rPr>
      </w:pPr>
    </w:p>
    <w:p w:rsidR="009D318D" w:rsidRDefault="009D318D">
      <w:pPr>
        <w:jc w:val="both"/>
        <w:rPr>
          <w:rFonts w:ascii="Times New Roman CYR" w:hAnsi="Times New Roman CYR" w:cs="Times New Roman CYR"/>
          <w:color w:val="004DBB"/>
          <w:lang w:val="en-US" w:eastAsia="en-US"/>
        </w:rPr>
      </w:pPr>
    </w:p>
    <w:p w:rsidR="009D318D" w:rsidRDefault="009D318D">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6"/>
        <w:gridCol w:w="4312"/>
      </w:tblGrid>
      <w:tr w:rsidR="009D318D">
        <w:tc>
          <w:tcPr>
            <w:tcW w:w="1761" w:type="dxa"/>
            <w:tcBorders>
              <w:top w:val="nil"/>
              <w:left w:val="nil"/>
              <w:bottom w:val="nil"/>
              <w:right w:val="nil"/>
            </w:tcBorders>
            <w:tcMar>
              <w:top w:w="0" w:type="dxa"/>
              <w:left w:w="108" w:type="dxa"/>
              <w:bottom w:w="0" w:type="dxa"/>
              <w:right w:w="108" w:type="dxa"/>
            </w:tcMar>
            <w:vAlign w:val="center"/>
          </w:tcPr>
          <w:p w:rsidR="009D318D" w:rsidRDefault="009D318D">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Verdana" w:hAnsi="Verdana" w:cs="Verdana"/>
                <w:sz w:val="20"/>
                <w:szCs w:val="20"/>
                <w:lang w:val="en-US" w:eastAsia="en-US"/>
              </w:rPr>
            </w:pPr>
          </w:p>
        </w:tc>
        <w:tc>
          <w:tcPr>
            <w:tcW w:w="4320"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Смирнов Анатолий Николаевич</w:t>
            </w:r>
          </w:p>
        </w:tc>
      </w:tr>
      <w:tr w:rsidR="009D318D">
        <w:trPr>
          <w:trHeight w:val="280"/>
        </w:trPr>
        <w:tc>
          <w:tcPr>
            <w:tcW w:w="1761" w:type="dxa"/>
            <w:tcBorders>
              <w:top w:val="nil"/>
              <w:left w:val="nil"/>
              <w:bottom w:val="nil"/>
              <w:right w:val="nil"/>
            </w:tcBorders>
            <w:tcMar>
              <w:top w:w="0" w:type="dxa"/>
              <w:left w:w="108" w:type="dxa"/>
              <w:bottom w:w="0" w:type="dxa"/>
              <w:right w:w="108" w:type="dxa"/>
            </w:tcMar>
            <w:vAlign w:val="bottom"/>
          </w:tcPr>
          <w:p w:rsidR="009D318D" w:rsidRDefault="009D318D">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(расшифровка подписи)</w:t>
            </w:r>
          </w:p>
        </w:tc>
      </w:tr>
      <w:tr w:rsidR="009D318D">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9D318D" w:rsidRDefault="009D318D">
            <w:pPr>
              <w:rPr>
                <w:rFonts w:ascii="Times New Roman" w:hAnsi="Times New Roman"/>
                <w:sz w:val="24"/>
                <w:szCs w:val="24"/>
              </w:rPr>
            </w:pPr>
            <w:r>
              <w:rPr>
                <w:rFonts w:ascii="Times New Roman" w:hAnsi="Times New Roman"/>
                <w:sz w:val="24"/>
                <w:szCs w:val="24"/>
              </w:rPr>
              <w:t> </w:t>
            </w:r>
          </w:p>
        </w:tc>
      </w:tr>
      <w:tr w:rsidR="009D318D">
        <w:trPr>
          <w:trHeight w:val="281"/>
        </w:trPr>
        <w:tc>
          <w:tcPr>
            <w:tcW w:w="1761" w:type="dxa"/>
            <w:tcBorders>
              <w:top w:val="nil"/>
              <w:left w:val="nil"/>
              <w:bottom w:val="nil"/>
              <w:right w:val="nil"/>
            </w:tcBorders>
            <w:tcMar>
              <w:top w:w="0" w:type="dxa"/>
              <w:left w:w="108" w:type="dxa"/>
              <w:bottom w:w="0" w:type="dxa"/>
              <w:right w:w="108" w:type="dxa"/>
            </w:tcMar>
            <w:vAlign w:val="center"/>
          </w:tcPr>
          <w:p w:rsidR="009D318D" w:rsidRDefault="009D318D">
            <w:pPr>
              <w:rPr>
                <w:rFonts w:ascii="Times New Roman" w:hAnsi="Times New Roman"/>
                <w:sz w:val="24"/>
                <w:szCs w:val="24"/>
              </w:rPr>
            </w:pPr>
            <w:r>
              <w:rPr>
                <w:rFonts w:ascii="Times New Roman" w:hAnsi="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p>
        </w:tc>
        <w:tc>
          <w:tcPr>
            <w:tcW w:w="4320"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Истратова Елена Николаевна</w:t>
            </w:r>
          </w:p>
        </w:tc>
      </w:tr>
      <w:tr w:rsidR="009D318D">
        <w:trPr>
          <w:trHeight w:val="281"/>
        </w:trPr>
        <w:tc>
          <w:tcPr>
            <w:tcW w:w="1761" w:type="dxa"/>
            <w:tcBorders>
              <w:top w:val="nil"/>
              <w:left w:val="nil"/>
              <w:bottom w:val="nil"/>
              <w:right w:val="nil"/>
            </w:tcBorders>
            <w:tcMar>
              <w:top w:w="0" w:type="dxa"/>
              <w:left w:w="108" w:type="dxa"/>
              <w:bottom w:w="0" w:type="dxa"/>
              <w:right w:w="108" w:type="dxa"/>
            </w:tcMar>
            <w:vAlign w:val="center"/>
          </w:tcPr>
          <w:p w:rsidR="009D318D" w:rsidRDefault="009D318D">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(расшифровка подписи)</w:t>
            </w:r>
          </w:p>
        </w:tc>
      </w:tr>
      <w:tr w:rsidR="009D318D">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9D318D" w:rsidRDefault="009D318D">
            <w:pPr>
              <w:rPr>
                <w:rFonts w:ascii="Times New Roman" w:hAnsi="Times New Roman"/>
                <w:sz w:val="24"/>
                <w:szCs w:val="24"/>
              </w:rPr>
            </w:pPr>
            <w:r>
              <w:rPr>
                <w:rFonts w:ascii="Times New Roman" w:hAnsi="Times New Roman"/>
                <w:sz w:val="24"/>
                <w:szCs w:val="24"/>
              </w:rPr>
              <w:t> </w:t>
            </w:r>
          </w:p>
        </w:tc>
      </w:tr>
      <w:tr w:rsidR="009D318D">
        <w:trPr>
          <w:trHeight w:val="281"/>
        </w:trPr>
        <w:tc>
          <w:tcPr>
            <w:tcW w:w="1761" w:type="dxa"/>
            <w:tcBorders>
              <w:top w:val="nil"/>
              <w:left w:val="nil"/>
              <w:bottom w:val="nil"/>
              <w:right w:val="nil"/>
            </w:tcBorders>
            <w:tcMar>
              <w:top w:w="0" w:type="dxa"/>
              <w:left w:w="108" w:type="dxa"/>
              <w:bottom w:w="0" w:type="dxa"/>
              <w:right w:w="108" w:type="dxa"/>
            </w:tcMar>
            <w:vAlign w:val="center"/>
          </w:tcPr>
          <w:p w:rsidR="009D318D" w:rsidRDefault="009D318D">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lang w:val="en-US" w:eastAsia="en-US"/>
              </w:rPr>
            </w:pPr>
          </w:p>
        </w:tc>
        <w:tc>
          <w:tcPr>
            <w:tcW w:w="4320" w:type="dxa"/>
            <w:tcBorders>
              <w:top w:val="nil"/>
              <w:left w:val="nil"/>
              <w:bottom w:val="nil"/>
              <w:right w:val="nil"/>
            </w:tcBorders>
            <w:tcMar>
              <w:top w:w="0" w:type="dxa"/>
              <w:left w:w="108" w:type="dxa"/>
              <w:bottom w:w="0" w:type="dxa"/>
              <w:right w:w="108" w:type="dxa"/>
            </w:tcMar>
            <w:vAlign w:val="bottom"/>
          </w:tcPr>
          <w:p w:rsidR="009D318D" w:rsidRDefault="009D318D">
            <w:pPr>
              <w:jc w:val="center"/>
              <w:rPr>
                <w:rFonts w:ascii="Times New Roman" w:hAnsi="Times New Roman"/>
                <w:sz w:val="24"/>
                <w:szCs w:val="24"/>
              </w:rPr>
            </w:pPr>
            <w:r>
              <w:rPr>
                <w:rFonts w:ascii="Times New Roman" w:hAnsi="Times New Roman"/>
                <w:sz w:val="24"/>
                <w:szCs w:val="24"/>
              </w:rPr>
              <w:t>Иванова Алла Константиновна</w:t>
            </w:r>
          </w:p>
        </w:tc>
      </w:tr>
      <w:tr w:rsidR="009D318D">
        <w:trPr>
          <w:trHeight w:val="281"/>
        </w:trPr>
        <w:tc>
          <w:tcPr>
            <w:tcW w:w="1761" w:type="dxa"/>
            <w:tcBorders>
              <w:top w:val="nil"/>
              <w:left w:val="nil"/>
              <w:bottom w:val="nil"/>
              <w:right w:val="nil"/>
            </w:tcBorders>
            <w:tcMar>
              <w:top w:w="0" w:type="dxa"/>
              <w:left w:w="108" w:type="dxa"/>
              <w:bottom w:w="0" w:type="dxa"/>
              <w:right w:w="108" w:type="dxa"/>
            </w:tcMar>
            <w:vAlign w:val="center"/>
          </w:tcPr>
          <w:p w:rsidR="009D318D" w:rsidRDefault="009D318D">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9D318D" w:rsidRDefault="009D318D">
            <w:pPr>
              <w:jc w:val="center"/>
              <w:rPr>
                <w:rFonts w:ascii="Times New Roman" w:hAnsi="Times New Roman"/>
                <w:sz w:val="24"/>
                <w:szCs w:val="24"/>
              </w:rPr>
            </w:pPr>
            <w:r>
              <w:rPr>
                <w:rFonts w:ascii="Times New Roman" w:hAnsi="Times New Roman"/>
                <w:sz w:val="24"/>
                <w:szCs w:val="24"/>
              </w:rPr>
              <w:t>(расшифровка подписи)</w:t>
            </w:r>
          </w:p>
        </w:tc>
      </w:tr>
    </w:tbl>
    <w:p w:rsidR="009D318D" w:rsidRDefault="009D318D">
      <w:bookmarkStart w:id="1" w:name="_dx_frag_EndFragment"/>
      <w:bookmarkEnd w:id="1"/>
    </w:p>
    <w:p w:rsidR="009D318D" w:rsidRDefault="009D318D">
      <w:pPr>
        <w:jc w:val="both"/>
        <w:rPr>
          <w:rFonts w:ascii="Times New Roman CYR" w:hAnsi="Times New Roman CYR" w:cs="Times New Roman CYR"/>
          <w:color w:val="004DBB"/>
          <w:lang w:val="en-US" w:eastAsia="en-US"/>
        </w:rPr>
      </w:pPr>
      <w:bookmarkStart w:id="2" w:name="_dx_frag_StartFragment"/>
      <w:bookmarkEnd w:id="2"/>
    </w:p>
    <w:p w:rsidR="009D318D" w:rsidRDefault="009D318D">
      <w:pPr>
        <w:jc w:val="both"/>
        <w:rPr>
          <w:rFonts w:ascii="Times New Roman" w:hAnsi="Times New Roman"/>
          <w:sz w:val="28"/>
          <w:szCs w:val="28"/>
          <w:lang w:val="en-US" w:eastAsia="en-US"/>
        </w:rPr>
      </w:pPr>
    </w:p>
    <w:sectPr w:rsidR="009D318D">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27"/>
    <w:rsid w:val="00203732"/>
    <w:rsid w:val="00926C27"/>
    <w:rsid w:val="009D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6C1268-DF2C-4D8F-B53B-F8EF4B5C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Пользователь компьютера</cp:lastModifiedBy>
  <cp:revision>2</cp:revision>
  <dcterms:created xsi:type="dcterms:W3CDTF">2021-08-06T09:19:00Z</dcterms:created>
  <dcterms:modified xsi:type="dcterms:W3CDTF">2021-08-06T09:19:00Z</dcterms:modified>
</cp:coreProperties>
</file>